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6472" w:rsidR="0079525F" w:rsidP="00B46472" w:rsidRDefault="001725EE">
      <w:pPr>
        <w:pStyle w:val="Heading110"/>
        <w:widowControl/>
        <w:shd w:val="clear" w:color="auto" w:fill="auto"/>
        <w:spacing w:after="360"/>
        <w:jc w:val="both"/>
      </w:pPr>
      <w:bookmarkStart w:id="0" w:name="bookmark0"/>
      <w:r>
        <w:t xml:space="preserve">Klimata politikas simulācija: zemkopība, lauksaimniecība un mežsaimniecība</w:t>
      </w:r>
      <w:bookmarkEnd w:id="0"/>
    </w:p>
    <w:p w:rsidRPr="00B46472" w:rsidR="0079525F" w:rsidP="00B46472" w:rsidRDefault="001725EE">
      <w:pPr>
        <w:pStyle w:val="Bodytext30"/>
        <w:widowControl/>
        <w:pBdr>
          <w:top w:val="single" w:color="auto" w:sz="4" w:space="1"/>
        </w:pBdr>
        <w:shd w:val="clear" w:color="auto" w:fill="auto"/>
        <w:tabs>
          <w:tab w:val="left" w:pos="1429"/>
        </w:tabs>
        <w:spacing w:before="0" w:after="120"/>
      </w:pPr>
      <w:r>
        <w:t xml:space="preserve">Adresāts:</w:t>
      </w:r>
      <w:r>
        <w:tab/>
      </w:r>
      <w:r>
        <w:t xml:space="preserve">Zemkopības, lauksaimniecības un mežsaimniecības alianses sarunu vadītāji</w:t>
      </w:r>
    </w:p>
    <w:p w:rsidRPr="00B46472" w:rsidR="0079525F" w:rsidP="00B46472" w:rsidRDefault="001725EE">
      <w:pPr>
        <w:pStyle w:val="Bodytext30"/>
        <w:widowControl/>
        <w:shd w:val="clear" w:color="auto" w:fill="auto"/>
        <w:tabs>
          <w:tab w:val="left" w:pos="1429"/>
        </w:tabs>
        <w:spacing w:before="0" w:after="120"/>
      </w:pPr>
      <w:r>
        <w:t xml:space="preserve">Temats:</w:t>
      </w:r>
      <w:r>
        <w:tab/>
      </w:r>
      <w:r>
        <w:t xml:space="preserve">Gatavošanās samitam par klimata politiku</w:t>
      </w:r>
    </w:p>
    <w:p w:rsidRPr="00B46472" w:rsidR="0079525F" w:rsidP="00B46472" w:rsidRDefault="001725EE">
      <w:pPr>
        <w:pStyle w:val="Bodytext20"/>
        <w:widowControl/>
        <w:shd w:val="clear" w:color="auto" w:fill="auto"/>
        <w:spacing w:before="0" w:after="120"/>
        <w:ind w:firstLine="0"/>
        <w:jc w:val="both"/>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 </w:t>
      </w:r>
      <w:r>
        <w:rPr>
          <w:rStyle w:val="Bodytext21"/>
        </w:rPr>
        <w:t xml:space="preserve">ir norādījis</w:t>
      </w:r>
      <w:r>
        <w:t xml:space="preserve">: “Ārkārtas stāvoklis klimata jomā ir sacensība, kurā mēs šobrīd zaudējam, bet kurā mēs vēl varam uzvarēt (..). Nopietni zinātniski pētījumi (..) liecina, ka temperatūras paaugstināšanās par vairāk nekā 1,5°C nodarīs milzīgu un neatgriezenisku kaitējumu ekosistēmām, kas mūs uztur (..). 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B46472" w:rsidR="0079525F" w:rsidP="00B46472" w:rsidRDefault="001725EE">
      <w:pPr>
        <w:pStyle w:val="Bodytext20"/>
        <w:widowControl/>
        <w:shd w:val="clear" w:color="auto" w:fill="auto"/>
        <w:spacing w:before="0" w:after="120"/>
        <w:ind w:firstLine="0"/>
        <w:jc w:val="both"/>
      </w:pPr>
      <w:r>
        <w:t xml:space="preserve">Samita mērķis ir izstrādāt plānu, kā ierobežot globālo sasilšanu, lai tā nepārsniegtu 2°C [3,6°F] salīdzinājumā ar pirmsindustriālā laikmeta līmeni, un censties panākt, lai tā nepārsniedz 1,5°C [2,7°F], proti, starptautiskos mērķus, kas oficiāli atzīti Parīzes nolīgumā par klimata pārmaiņām.</w:t>
      </w:r>
      <w:r>
        <w:t xml:space="preserve"> </w:t>
      </w:r>
      <w:r>
        <w:rPr>
          <w:rStyle w:val="Bodytext21"/>
        </w:rPr>
        <w:t xml:space="preserve">Zinātniskie pierādījumi</w:t>
      </w:r>
      <w:r>
        <w:t xml:space="preserve"> ir nepārprotami: sasilšana, kas pārsniedz minētās robežas, radīs katastrofālu un neatgriezenisku ietekmi, kura apdraudēs visu pasaules valstu iedzīvotāju veselību, labklājību un pat dzīvību.</w:t>
      </w:r>
    </w:p>
    <w:p w:rsidRPr="00B46472" w:rsidR="0079525F" w:rsidP="00B46472" w:rsidRDefault="001725EE">
      <w:pPr>
        <w:pStyle w:val="Bodytext20"/>
        <w:widowControl/>
        <w:shd w:val="clear" w:color="auto" w:fill="auto"/>
        <w:spacing w:before="0" w:after="120"/>
        <w:ind w:firstLine="0"/>
        <w:jc w:val="both"/>
      </w:pPr>
      <w:r>
        <w:t xml:space="preserve">Jūsu grupā ietilpst lielāko lauksaimniecības, pārtikas un mežizstrādes uzņēmumu pārstāvji, lielākie zemes īpašnieki, mežu un lauksaimniecības ministrijas, kā arī zemes saglabāšanas aģentūras.</w:t>
      </w:r>
      <w:r>
        <w:t xml:space="preserve"> </w:t>
      </w:r>
      <w:r>
        <w:t xml:space="preserve">Jūsu grupa koncentrējas uz to, kā vienlaikus gan nodrošināt pārtiku cilvēkiem visā pasaulē, gan aizsargāt mežus, gan arī mazināt klimata pārmaiņas.</w:t>
      </w:r>
    </w:p>
    <w:p w:rsidRPr="00B46472" w:rsidR="0079525F" w:rsidP="00B46472" w:rsidRDefault="001725EE">
      <w:pPr>
        <w:pStyle w:val="Bodytext20"/>
        <w:widowControl/>
        <w:shd w:val="clear" w:color="auto" w:fill="auto"/>
        <w:spacing w:before="0" w:after="120" w:line="244" w:lineRule="exact"/>
        <w:ind w:firstLine="0"/>
        <w:jc w:val="both"/>
      </w:pPr>
      <w:r>
        <w:t xml:space="preserve">Tālāk norādītas jūsu politikas prioritātes.</w:t>
      </w:r>
      <w:r>
        <w:t xml:space="preserve"> </w:t>
      </w:r>
      <w:r>
        <w:t xml:space="preserve">Jūs varat gan ierosināt, gan bloķēt jebkuru citu politikas pasākumu.</w:t>
      </w:r>
    </w:p>
    <w:p w:rsidRPr="00B46472"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Pārvaldīt atmežošanu.</w:t>
      </w:r>
      <w:r>
        <w:rPr>
          <w:rStyle w:val="Bodytext2Bold"/>
        </w:rPr>
        <w:t xml:space="preserve"> </w:t>
      </w:r>
      <w:r>
        <w:t xml:space="preserve">Atmežošana šobrīd rada apmēram 15 % no siltumnīcefekta gāzu emisijām.</w:t>
      </w:r>
      <w:r>
        <w:t xml:space="preserve"> </w:t>
      </w:r>
      <w:r>
        <w:t xml:space="preserve">Mežu aizsardzība var samazināt šīs emisijas un vienlaikus arī saglabāt bioloģisko daudzveidību un aizsargāt ūdens krājumus.</w:t>
      </w:r>
      <w:r>
        <w:t xml:space="preserve"> </w:t>
      </w:r>
      <w:r>
        <w:t xml:space="preserve">Tomēr, ierobežojot atmežošanu, samazinās arī iespējas attiecīgo zemi izmantot koksnes, pārtikas un bioenerģijas ieguvei, kā arī citiem ļoti ienesīgiem lietojumiem.</w:t>
      </w:r>
      <w:r>
        <w:t xml:space="preserve"> </w:t>
      </w:r>
      <w:r>
        <w:rPr>
          <w:rStyle w:val="Bodytext23"/>
        </w:rPr>
        <w:t xml:space="preserve">Atmežošanu izraisa gan mazie lauksaimnieki un lauku iedzīvotāji, kuriem nepieciešama koksne kurināmajam, gan lielie uzņēmumi, kas izcērt mežus mežizstrādes un lauksaimnieciskās darbības nolūkā, tai skaitā ar mērķi tropiskos mežus pārveidot par palmu eļļas plantācijām vai pielāgot lauksaimniecības dzīvnieku un kultūraugu audzēšanai.</w:t>
      </w:r>
    </w:p>
    <w:p w:rsidRPr="00D22C77"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Izskatīt apmežošanas iespējas.</w:t>
      </w:r>
      <w:r>
        <w:rPr>
          <w:rStyle w:val="Bodytext2Bold"/>
        </w:rPr>
        <w:t xml:space="preserve"> </w:t>
      </w:r>
      <w:r>
        <w:t xml:space="preserve">Apmežošana ir jaunu mežu ieaudzēšana zemē, kurā nav koku; dažreiz tā iepriekš ir bijusi atmežota vai noplicināta zeme.</w:t>
      </w:r>
      <w:r>
        <w:t xml:space="preserve"> </w:t>
      </w:r>
      <w:r>
        <w:t xml:space="preserve">Augot meži no atmosfēras piesaista CO</w:t>
      </w:r>
      <w:r>
        <w:rPr>
          <w:vertAlign w:val="subscript"/>
        </w:rPr>
        <w:t xml:space="preserve">2</w:t>
      </w:r>
      <w:r>
        <w:t xml:space="preserve"> un uzglabā to biomasā un augsnē.</w:t>
      </w:r>
      <w:r>
        <w:t xml:space="preserve"> </w:t>
      </w:r>
      <w:r>
        <w:t xml:space="preserve">Meži palīdz saglabāt dzīvotnes un bioloģisko daudzveidību, palēnina eroziju un augsnes degradāciju, kā arī aizsargā pret plūdiem.</w:t>
      </w:r>
      <w:r>
        <w:t xml:space="preserve"> </w:t>
      </w:r>
      <w:r>
        <w:t xml:space="preserve">Izvēršot apmežošanu plašā mērogā, varētu tikt izmantota zeme, kas vajadzīga kultūraugu vai mājlopu audzēšanai, un tādā veidā, palielinoties konkurencei uz zemi, celtos pārtikas cenas.</w:t>
      </w:r>
      <w:r>
        <w:t xml:space="preserve"> </w:t>
      </w:r>
      <w:r>
        <w:t xml:space="preserve">Savos apsvērumos ņemiet vērā zemes platību, kas vajadzīga jebkurai konkrētai apmežošanas politikai.</w:t>
      </w:r>
    </w:p>
    <w:p w:rsidRPr="00B46472" w:rsidR="00D22C77" w:rsidP="00B46472" w:rsidRDefault="00D22C77">
      <w:pPr>
        <w:pStyle w:val="Bodytext20"/>
        <w:widowControl/>
        <w:numPr>
          <w:ilvl w:val="0"/>
          <w:numId w:val="1"/>
        </w:numPr>
        <w:shd w:val="clear" w:color="auto" w:fill="auto"/>
        <w:tabs>
          <w:tab w:val="left" w:pos="366"/>
        </w:tabs>
        <w:spacing w:before="0"/>
        <w:ind w:left="400"/>
        <w:jc w:val="both"/>
      </w:pPr>
      <w:r>
        <w:rPr>
          <w:b/>
        </w:rPr>
        <w:t xml:space="preserve">Ņemt vērā metāna, dislāpekļa oksīda un citu siltumnīcefekta gāzu emisijas.</w:t>
      </w:r>
    </w:p>
    <w:p w:rsidRPr="00B46472" w:rsidR="0079525F" w:rsidP="00B46472" w:rsidRDefault="001725EE">
      <w:pPr>
        <w:pStyle w:val="Bodytext20"/>
        <w:widowControl/>
        <w:shd w:val="clear" w:color="auto" w:fill="auto"/>
        <w:spacing w:before="0" w:after="120"/>
        <w:ind w:left="400" w:firstLine="0"/>
        <w:jc w:val="both"/>
      </w:pPr>
      <w:r>
        <w:rPr>
          <w:b/>
          <w:bCs/>
        </w:rPr>
        <w:t xml:space="preserve">CO</w:t>
      </w:r>
      <w:r>
        <w:rPr>
          <w:b/>
          <w:bCs/>
          <w:vertAlign w:val="subscript"/>
        </w:rPr>
        <w:t xml:space="preserve">2</w:t>
      </w:r>
      <w:r>
        <w:t xml:space="preserve"> ir visvairāk zināmā siltumnīcefekta gāze (SEG), taču mūsdienās aptuveni ceturto daļu no globālās sasilšanas izraisa citas SEG, it īpaši metāns (CH</w:t>
      </w:r>
      <w:r>
        <w:rPr>
          <w:vertAlign w:val="subscript"/>
        </w:rPr>
        <w:t xml:space="preserve">4</w:t>
      </w:r>
      <w:r>
        <w:t xml:space="preserve">) un dislāpekļa oksīds (N</w:t>
      </w:r>
      <w:r>
        <w:rPr>
          <w:vertAlign w:val="subscript"/>
        </w:rPr>
        <w:t xml:space="preserve">2</w:t>
      </w:r>
      <w:r>
        <w:t xml:space="preserve">O), un to koncentrācija atmosfērā pieaug.</w:t>
      </w:r>
      <w:r>
        <w:t xml:space="preserve"> </w:t>
      </w:r>
      <w:r>
        <w:t xml:space="preserve">Simt gadu laikā viena CH</w:t>
      </w:r>
      <w:r>
        <w:rPr>
          <w:vertAlign w:val="subscript"/>
        </w:rPr>
        <w:t xml:space="preserve">4</w:t>
      </w:r>
      <w:r>
        <w:t xml:space="preserve"> molekula veicina globālo sasilšanu aptuveni 25 reizes vairāk nekā viena CO</w:t>
      </w:r>
      <w:r>
        <w:rPr>
          <w:vertAlign w:val="subscript"/>
        </w:rPr>
        <w:t xml:space="preserve">2</w:t>
      </w:r>
      <w:r>
        <w:t xml:space="preserve"> molekula, savukārt N</w:t>
      </w:r>
      <w:r>
        <w:rPr>
          <w:vertAlign w:val="subscript"/>
        </w:rPr>
        <w:t xml:space="preserve">2</w:t>
      </w:r>
      <w:r>
        <w:t xml:space="preserve">O veicina sasilšanu gandrīz 300 reižu vairāk nekā CO</w:t>
      </w:r>
      <w:r>
        <w:rPr>
          <w:vertAlign w:val="subscript"/>
        </w:rPr>
        <w:t xml:space="preserve">2</w:t>
      </w:r>
      <w:r>
        <w:t xml:space="preserve">.</w:t>
      </w:r>
      <w:r>
        <w:t xml:space="preserve"> </w:t>
      </w:r>
      <w:r>
        <w:t xml:space="preserve">Lielākie CH</w:t>
      </w:r>
      <w:r>
        <w:rPr>
          <w:vertAlign w:val="subscript"/>
        </w:rPr>
        <w:t xml:space="preserve">4</w:t>
      </w:r>
      <w:r>
        <w:t xml:space="preserve"> avoti ir pašreizējā lauksaimniecības prakse un lopkopība, savukārt N</w:t>
      </w:r>
      <w:r>
        <w:rPr>
          <w:vertAlign w:val="subscript"/>
        </w:rPr>
        <w:t xml:space="preserve">2</w:t>
      </w:r>
      <w:r>
        <w:t xml:space="preserve">O galvenais avots ir mēslošanas līdzekļu izmantošana.</w:t>
      </w:r>
      <w:r>
        <w:t xml:space="preserve"> </w:t>
      </w:r>
      <w:r>
        <w:t xml:space="preserve">Novatoriskas tehnoloģijas un metodes var ar nelielām izmaksām samazināt šīs emisijas, taču daudzi vides aktīvisti arī aicina izstrādāt regulējumu (piemēram, mēslošanas līdzekļu izmantošanas ierobežojumus) vai ieviest izmaiņas cilvēku dzīvesveidā (piemēram, samazināt gaļas patēriņu un pārtikas izšķērdēšanu), kas varētu nelabvēlīgi ietekmēt lauksaimniecības un lopkopības nozares rentabilitāti.</w:t>
      </w:r>
      <w:r>
        <w:t xml:space="preserve"> </w:t>
      </w:r>
      <w:r>
        <w:t xml:space="preserve">Šādu politiku jūs nevēlaties atbalstīt, pat ja tā varētu ievērojami samazināt emisijas.</w:t>
      </w:r>
      <w:r>
        <w:t xml:space="preserve"> </w:t>
      </w:r>
      <w:r>
        <w:t xml:space="preserve">Sasilšanu veicina arī virkne fluorogļūdeņražu un to savienojumi (fluorētās jeb F gāzes).</w:t>
      </w:r>
      <w:r>
        <w:t xml:space="preserve"> </w:t>
      </w:r>
      <w:r>
        <w:t xml:space="preserve">F gāzes tiek izmantotas rūpnieciskajos procesos un patēriņa precēs (piemēram, dzesētājos, šķīdinātājos).</w:t>
      </w:r>
      <w:r>
        <w:t xml:space="preserve"> </w:t>
      </w:r>
      <w:r>
        <w:t xml:space="preserve">Mūsdienās to koncentrācija ir zema, taču daudzas F gāzes sasilšanu veicina tūkstošiem reižu vairāk nekā CO</w:t>
      </w:r>
      <w:r>
        <w:rPr>
          <w:vertAlign w:val="subscript"/>
        </w:rPr>
        <w:t xml:space="preserve">2</w:t>
      </w:r>
      <w:r>
        <w:t xml:space="preserve">.</w:t>
      </w:r>
      <w:r>
        <w:t xml:space="preserve"> </w:t>
      </w:r>
      <w:r>
        <w:t xml:space="preserve">Jūs varat atbalstīt politikas pasākumus šo gāzu samazināšanai, jo šādu pasākumu ietekme uz jūsu interesēm ir neliela.</w:t>
      </w:r>
    </w:p>
    <w:p w:rsidRPr="00B46472"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Atbalstīt subsīdijas atjaunojamajiem energoresursiem.</w:t>
      </w:r>
      <w:r>
        <w:rPr>
          <w:rStyle w:val="Bodytext2Bold"/>
        </w:rPr>
        <w:t xml:space="preserve"> </w:t>
      </w:r>
      <w:r>
        <w:t xml:space="preserve">Galvenais klimata pārmaiņu veicinātājs ir nevis zemes izmantošana, bet fosilā kurināmā emisijas.</w:t>
      </w:r>
      <w:r>
        <w:t xml:space="preserve"> </w:t>
      </w:r>
      <w:r>
        <w:t xml:space="preserve">Jūs atbalstāt fosilā kurināmā aizstāšanu ar tīru un cenas ziņā pieņemamu enerģiju, ar ko jūs darbināt savas iekārtas un transportējat pārtiku.</w:t>
      </w:r>
      <w:r>
        <w:t xml:space="preserve"> </w:t>
      </w:r>
      <w:r>
        <w:rPr>
          <w:rStyle w:val="Bodytext23"/>
        </w:rPr>
        <w:t xml:space="preserve">Lopkopji un zemes īpašnieki var uzstādīt saules elektronenerģijas paneļus un vēja turbīnas, bet lielāko daļu zemes joprojām izmantot lauksaimniecības kultūru audzēšanai un lopkopībai. Tādējādi jūs atbalstāt subsīdijas tīrām energotehnoloģijām.</w:t>
      </w:r>
      <w:r>
        <w:rPr>
          <w:rStyle w:val="Bodytext23"/>
        </w:rPr>
        <w:t xml:space="preserve"> </w:t>
      </w:r>
      <w:r>
        <w:t xml:space="preserve">Lielie mežizstrādes un lauksaimniecības uzņēmumi iebilst pret tādiem pasākumiem kā oglekļa cenas noteikšana fosilajam kurināmajam, jo tie palielinātu darbības izmaksas, bet zemes saglabāšanas grupas atbalsta šādu politiku, lai ātrāk samazinātu CO</w:t>
      </w:r>
      <w:r>
        <w:rPr>
          <w:vertAlign w:val="subscript"/>
        </w:rPr>
        <w:t xml:space="preserve">2</w:t>
      </w:r>
      <w:r>
        <w:t xml:space="preserve"> emisijas.</w:t>
      </w:r>
    </w:p>
    <w:p w:rsidRPr="00B46472" w:rsidR="0079525F" w:rsidP="00B46472" w:rsidRDefault="001725EE">
      <w:pPr>
        <w:pStyle w:val="Bodytext50"/>
        <w:widowControl/>
        <w:shd w:val="clear" w:color="auto" w:fill="auto"/>
        <w:spacing w:before="0"/>
      </w:pPr>
      <w:r>
        <w:t xml:space="preserve">Papildu apsvērumi</w:t>
      </w:r>
    </w:p>
    <w:p w:rsidRPr="00B46472" w:rsidR="0079525F" w:rsidP="00B46472" w:rsidRDefault="001725EE">
      <w:pPr>
        <w:pStyle w:val="Bodytext20"/>
        <w:widowControl/>
        <w:shd w:val="clear" w:color="auto" w:fill="auto"/>
        <w:spacing w:before="0" w:after="120"/>
        <w:ind w:firstLine="0"/>
        <w:jc w:val="both"/>
      </w:pPr>
      <w:r>
        <w:t xml:space="preserve">Pasaulē pašlaik ir aptuveni 7,7 miljardi iedzīvotāju, un ANO prognozē, ka līdz 2050. gadam iedzīvotāju skaits pārsniegs 9 miljardus, bet līdz 2100. gadam būs pieaudzis gandrīz līdz 11 miljardiem.</w:t>
      </w:r>
      <w:r>
        <w:t xml:space="preserve"> </w:t>
      </w:r>
      <w:r>
        <w:t xml:space="preserve">Augošais iedzīvotāju skaits un ienākumu pieaugums palielina pieprasījumu pēc kultūraugiem, gaļas, koksnes, šķiedras un citiem produktiem, kuru ražošanā intensīvi jāizmanto zeme.</w:t>
      </w:r>
      <w:r>
        <w:t xml:space="preserve"> </w:t>
      </w:r>
      <w:r>
        <w:t xml:space="preserve">Mūsdienās aptuveni vienam miljardam cilvēku trūkst pienācīgas pārtikas, un daudzās valstīs šāds trūkums izraisa uztura nepietiekamību un badu.</w:t>
      </w:r>
      <w:r>
        <w:t xml:space="preserve"> </w:t>
      </w:r>
      <w:r>
        <w:t xml:space="preserve">Tomēr saskaņā ar ANO Pārtikas un lauksaimniecības organizācijas datiem 30 % no pasaulē saražotās pārtikas tiek izšķērdēti un rada 8 % no globālajām SEG emisijām.</w:t>
      </w:r>
    </w:p>
    <w:p w:rsidRPr="00B46472" w:rsidR="0079525F" w:rsidP="00B46472" w:rsidRDefault="001725EE">
      <w:pPr>
        <w:pStyle w:val="Bodytext20"/>
        <w:widowControl/>
        <w:shd w:val="clear" w:color="auto" w:fill="auto"/>
        <w:spacing w:before="0" w:after="120"/>
        <w:ind w:firstLine="0"/>
        <w:jc w:val="both"/>
      </w:pPr>
      <w:r>
        <w:t xml:space="preserve">Izšķērdētās pārtikas apjoma samazināšana, kultūraugu ražas palielināšana un veselīga, uz augiem balstīta uztura veicināšana var apmierināt augošo pārtikas pieprasījumu, nepatērējot vairāk zemes un vienlaikus samazinot SEG emisijas lauksaimniecības nozarē.</w:t>
      </w:r>
      <w:r>
        <w:t xml:space="preserve"> </w:t>
      </w:r>
      <w:r>
        <w:t xml:space="preserve">Tomēr jūsu nozare šajā jomā var darboties tikai līdz brīdim, kad šie pasākumi liek pārtikas cenām celties.</w:t>
      </w:r>
      <w:r>
        <w:t xml:space="preserve"> </w:t>
      </w:r>
      <w:r>
        <w:t xml:space="preserve">Augstas pārtikas izmaksas nozīmē to, ka pārtiku nesaņems cilvēki, kuriem tās visvairāk trūkst.</w:t>
      </w:r>
      <w:r>
        <w:t xml:space="preserve"> </w:t>
      </w:r>
      <w:r>
        <w:t xml:space="preserve">Uz augiem balstīta uztura popularizēšana finansiāli kaitēs lielajai un augošajai lopkopības nozarei.</w:t>
      </w:r>
    </w:p>
    <w:p w:rsidRPr="00B46472" w:rsidR="0079525F" w:rsidP="00B46472" w:rsidRDefault="001725EE">
      <w:pPr>
        <w:pStyle w:val="Bodytext20"/>
        <w:widowControl/>
        <w:shd w:val="clear" w:color="auto" w:fill="auto"/>
        <w:spacing w:before="0" w:after="120"/>
        <w:ind w:firstLine="0"/>
        <w:jc w:val="both"/>
      </w:pPr>
      <w:r>
        <w:t xml:space="preserve">Daudzviet pasaulē būs grūti mainīt zemes izmantojumu un lauksaimniecības metodes.</w:t>
      </w:r>
      <w:r>
        <w:t xml:space="preserve"> </w:t>
      </w:r>
      <w:r>
        <w:t xml:space="preserve">Klimatu saudzējoša lauksaimniecība daudzās jaunattīstības valstīs varētu nodrošināt ievērojamas potenciālas priekšrocības, taču korupcija un nepietiekama uzraudzība apgrūtina zemes izmantošanas politikas īstenošanu.</w:t>
      </w:r>
      <w:r>
        <w:t xml:space="preserve"> </w:t>
      </w:r>
      <w:r>
        <w:t xml:space="preserve">Līdzšinējie centieni ierobežot atmežošanu, galvenokārt Brazīlijā un Indonēzijā, ir bijuši veiksmīgi tikai daļēji.</w:t>
      </w:r>
      <w:r>
        <w:t xml:space="preserve"> </w:t>
      </w:r>
      <w:r>
        <w:t xml:space="preserve">Nelikumīga mežu izciršana joprojām ir nopietna problēma.</w:t>
      </w:r>
      <w:r>
        <w:t xml:space="preserve"> </w:t>
      </w:r>
      <w:r>
        <w:t xml:space="preserve">Dažas valdības aktīvi subsidē mežu izciršanu, lai veicinātu mežizstrādi un agrorūpniecību un lai cilvēkiem nodrošinātu zemi.</w:t>
      </w:r>
    </w:p>
    <w:p w:rsidRPr="00D22C77" w:rsidR="0079525F" w:rsidP="00B46472" w:rsidRDefault="001725EE">
      <w:pPr>
        <w:pStyle w:val="Bodytext20"/>
        <w:widowControl/>
        <w:shd w:val="clear" w:color="auto" w:fill="auto"/>
        <w:spacing w:before="0" w:after="120"/>
        <w:ind w:firstLine="0"/>
        <w:jc w:val="both"/>
      </w:pPr>
      <w:r>
        <w:t xml:space="preserve">Neraugoties uz minētajiem izaicinājumiem, klimata pārmaiņas jūsu grupas locekļiem rada nopietnus draudus.</w:t>
      </w:r>
      <w:r>
        <w:t xml:space="preserve"> </w:t>
      </w:r>
      <w:r>
        <w:t xml:space="preserve">Aizvien intensīvāki plūdi, sausums, karstuma viļņi, mežu ugunsgrēki un jūras līmeņa celšanās jau tagad iznīcina aramzemi, pazemina ražību, kaitē mežiem un samazina peļņu.</w:t>
      </w:r>
      <w:r>
        <w:t xml:space="preserve"> </w:t>
      </w:r>
      <w:r>
        <w:t xml:space="preserve">Klimata pārmaiņu ietekme un no tās izrietošās ģeopolitiskās izmaiņas nopietni apdraud jūsu aktīvus, darbaspēku, piegādes ķēdes, klientus un rentabilitāti.</w:t>
      </w:r>
      <w:r>
        <w:t xml:space="preserve"> </w:t>
      </w:r>
      <w:r>
        <w:t xml:space="preserve">Lai arī pārmaiņas būs sarežģītas un daži jūsu grupas dalībnieki cietīs finansiālus zaudējumus, jūsu pārstāvētā alianse var palīdzēt rast risinājumu, ar labāku zemes apsaimniekošanu un lauksaimniecības praksi samazinot savas emisijas.</w:t>
      </w:r>
    </w:p>
    <w:p w:rsidRPr="00D22C77" w:rsidR="00D22C77" w:rsidRDefault="00D22C77">
      <w:pPr>
        <w:jc w:val="center"/>
      </w:pPr>
      <w:r>
        <w:t xml:space="preserve">_____________</w:t>
      </w:r>
    </w:p>
    <w:p w:rsidRPr="00D22C77" w:rsidR="00D22C77" w:rsidRDefault="00D22C77">
      <w:pPr>
        <w:pStyle w:val="Bodytext20"/>
        <w:widowControl/>
        <w:shd w:val="clear" w:color="auto" w:fill="auto"/>
        <w:spacing w:before="0" w:after="120"/>
        <w:ind w:firstLine="0"/>
        <w:rPr>
          <w:lang w:val="en-GB"/>
        </w:rPr>
      </w:pPr>
    </w:p>
    <w:sectPr w:rsidRPr="00D22C77" w:rsidR="00D22C77"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C77" w:rsidRPr="00D22C77" w:rsidRDefault="00D22C77" w:rsidP="001725EE">
    <w:pPr>
      <w:pStyle w:val="Bodytext40"/>
      <w:widowControl/>
      <w:shd w:val="clear" w:color="auto" w:fill="auto"/>
      <w:spacing w:before="0"/>
      <w:jc w:val="both"/>
      <w:rPr>
        <w:sz w:val="20"/>
        <w:szCs w:val="20"/>
        <w:rFonts w:ascii="Times New Roman" w:hAnsi="Times New Roman" w:cs="Times New Roman"/>
      </w:rPr>
    </w:pPr>
    <w:r>
      <w:rPr>
        <w:sz w:val="20"/>
        <w:szCs w:val="20"/>
        <w:rFonts w:ascii="Times New Roman" w:hAnsi="Times New Roman"/>
      </w:rPr>
      <w:t xml:space="preserve">Izstrādātāji: Climate Interactive, MIT Sloan School of Management Sustainability Initiative, ESB Business School un UMass Lowell Climate Change Initiative.</w:t>
    </w:r>
    <w:r>
      <w:rPr>
        <w:sz w:val="20"/>
        <w:szCs w:val="20"/>
        <w:rFonts w:ascii="Times New Roman" w:hAnsi="Times New Roman"/>
      </w:rPr>
      <w:t xml:space="preserve"> </w:t>
    </w:r>
    <w:r>
      <w:rPr>
        <w:sz w:val="20"/>
        <w:szCs w:val="20"/>
        <w:rFonts w:ascii="Times New Roman" w:hAnsi="Times New Roman"/>
      </w:rPr>
      <w:t xml:space="preserve">Pēdējo reizi atjaunināts 2019. gada septembrī.</w:t>
    </w:r>
    <w:r>
      <w:rPr>
        <w:sz w:val="20"/>
        <w:szCs w:val="20"/>
        <w:rFonts w:ascii="Times New Roman" w:hAnsi="Times New Roman"/>
      </w:rPr>
      <w:t xml:space="preserve"> </w:t>
    </w:r>
    <w:hyperlink r:id="rId1" w:history="1">
      <w:r>
        <w:rPr>
          <w:sz w:val="20"/>
          <w:szCs w:val="20"/>
          <w:rFonts w:ascii="Times New Roman" w:hAnsi="Times New Roman"/>
        </w:rPr>
        <w:t xml:space="preserve">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71241"/>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lv-LV"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lv-LV"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CTJJHAUHWN5E-644613129-2875</_dlc_DocId>
    <_dlc_DocIdUrl xmlns="bfc960a6-20da-4c94-8684-71380fca093b">
      <Url>http://dm2016/eesc/2019/_layouts/15/DocIdRedir.aspx?ID=CTJJHAUHWN5E-644613129-2875</Url>
      <Description>CTJJHAUHWN5E-644613129-2875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54847C-038B-4EFE-BE2D-2732BF9F946E}"/>
</file>

<file path=customXml/itemProps2.xml><?xml version="1.0" encoding="utf-8"?>
<ds:datastoreItem xmlns:ds="http://schemas.openxmlformats.org/officeDocument/2006/customXml" ds:itemID="{0A8E0A22-1145-4C99-909C-70731B2DCDC9}"/>
</file>

<file path=customXml/itemProps3.xml><?xml version="1.0" encoding="utf-8"?>
<ds:datastoreItem xmlns:ds="http://schemas.openxmlformats.org/officeDocument/2006/customXml" ds:itemID="{98602718-BDF5-4B27-B4DF-E2C633C8AD96}"/>
</file>

<file path=customXml/itemProps4.xml><?xml version="1.0" encoding="utf-8"?>
<ds:datastoreItem xmlns:ds="http://schemas.openxmlformats.org/officeDocument/2006/customXml" ds:itemID="{85862A4B-3B14-4000-8670-B8B7DD9B636A}"/>
</file>

<file path=docProps/app.xml><?xml version="1.0" encoding="utf-8"?>
<Properties xmlns="http://schemas.openxmlformats.org/officeDocument/2006/extended-properties" xmlns:vt="http://schemas.openxmlformats.org/officeDocument/2006/docPropsVTypes">
  <Template>Styles</Template>
  <TotalTime>2</TotalTime>
  <Pages>1</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IV grupa - Zemkopība, lauksaimniecība un mežsaimniecība</dc:title>
  <cp:keywords>EESC-2019-05163-03-00-INFO-TRA-EN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2019-11-15T09:11:00Z</dcterms:created>
  <dcterms:modified xsi:type="dcterms:W3CDTF">2019-11-15T09:14:00Z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15fed438-5fe5-4d80-8e74-3e3e987b2529</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2019-12-10T12:00:00Z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152;#MK|34ce48bb-063e-4413-a932-50853dc71c5c;#7;#Final|ea5e6674-7b27-4bac-b091-73adbb394efe;#55;#BG|1a1b3951-7821-4e6a-85f5-5673fc08bd2c;#64;#PT|50ccc04a-eadd-42ae-a0cb-acaf45f812ba;#63;#MT|7df99101-6854-4a26-b53a-b88c0da02c26;#62;#FI|87606a43-d45f-42d6-b8c9-e1a3457db5b7;#246;#ME|925b3da5-5ac0-4b3c-928c-6ef66a5c9b3c;#59;#HR|2f555653-ed1a-4fe6-8362-9082d95989e5;#58;#LV|46f7e311-5d9f-4663-b433-18aeccb7ace7;#56;#SL|98a412ae-eb01-49e9-ae3d-585a81724cfc;#21;#IT|0774613c-01ed-4e5d-a25d-11d2388de825;#17;#ES|e7a6b05b-ae16-40c8-add9-68b64b03aeba;#16;#PL|1e03da61-4678-4e07-b136-b5024ca9197b;#52;#DA|5d49c027-8956-412b-aa16-e85a0f96ad0e;#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26" name="DocumentLanguage_0">
    <vt:lpwstr>LV|46f7e311-5d9f-4663-b433-18aeccb7ace7</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11386</vt:i4>
  </property>
  <property fmtid="{D5CDD505-2E9C-101B-9397-08002B2CF9AE}" pid="32" name="DocumentPart">
    <vt:i4>3</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58;#LV|46f7e311-5d9f-4663-b433-18aeccb7ace7</vt:lpwstr>
  </property>
  <property fmtid="{D5CDD505-2E9C-101B-9397-08002B2CF9AE}" pid="39" name="AvailableTranslations_0">
    <vt:lpwstr>HR|2f555653-ed1a-4fe6-8362-9082d95989e5;MK|34ce48bb-063e-4413-a932-50853dc71c5c;SR|7f3a1d13-b985-4bfd-981e-afe31377edff;FI|87606a43-d45f-42d6-b8c9-e1a3457db5b7;LV|46f7e311-5d9f-4663-b433-18aeccb7ace7;IT|0774613c-01ed-4e5d-a25d-11d2388de825;PL|1e03da61-4678-4e07-b136-b5024ca9197b;BG|1a1b3951-7821-4e6a-85f5-5673fc08bd2c;SK|46d9fce0-ef79-4f71-b89b-cd6aa82426b8;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DA|5d49c027-8956-412b-aa16-e85a0f96ad0e</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